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left="0" w:hanging="2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93"/>
        <w:tblW w:w="1078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"/>
        <w:gridCol w:w="186"/>
        <w:gridCol w:w="708"/>
        <w:gridCol w:w="1276"/>
        <w:gridCol w:w="1659"/>
        <w:gridCol w:w="3133"/>
        <w:gridCol w:w="1275"/>
        <w:gridCol w:w="1588"/>
        <w:gridCol w:w="392"/>
        <w:gridCol w:w="330"/>
      </w:tblGrid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40" w:after="60" w:line="240" w:lineRule="auto"/>
              <w:ind w:left="1" w:hanging="3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ДОГОВОР №</w:t>
            </w:r>
            <w:r>
              <w:rPr>
                <w:b/>
                <w:bCs/>
                <w:sz w:val="28"/>
                <w:szCs w:val="28"/>
              </w:rPr>
              <w:t>124</w:t>
            </w:r>
            <w:r>
              <w:rPr>
                <w:b/>
                <w:bCs/>
                <w:color w:val="000000"/>
                <w:sz w:val="28"/>
                <w:szCs w:val="28"/>
              </w:rPr>
              <w:t>-ТО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ТЕХНИЧЕСКОЕ ОБСЛУЖИВАНИЕ И РЕМОНТ УСТАНОВОК ПОЖАРНОЙ СИГНАЛИЗАЦИИ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86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г.</w:t>
            </w:r>
          </w:p>
        </w:tc>
        <w:tc>
          <w:tcPr>
            <w:tcW w:w="1984" w:type="dxa"/>
            <w:gridSpan w:val="2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Воронеж</w:t>
            </w:r>
          </w:p>
        </w:tc>
        <w:tc>
          <w:tcPr>
            <w:tcW w:w="4792" w:type="dxa"/>
            <w:gridSpan w:val="2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3255" w:type="dxa"/>
            <w:gridSpan w:val="3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</w:t>
            </w: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>«</w:t>
            </w:r>
            <w:r>
              <w:rPr>
                <w:b/>
                <w:bCs/>
                <w:sz w:val="22"/>
                <w:szCs w:val="22"/>
                <w:u w:val="single"/>
              </w:rPr>
              <w:t>__</w:t>
            </w: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»  </w:t>
            </w:r>
            <w:r>
              <w:rPr>
                <w:b/>
                <w:bCs/>
                <w:sz w:val="22"/>
                <w:szCs w:val="22"/>
                <w:u w:val="single"/>
              </w:rPr>
              <w:t>_____</w:t>
            </w: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  2026 г</w:t>
            </w:r>
            <w:r>
              <w:rPr>
                <w:color w:val="000000"/>
                <w:sz w:val="22"/>
                <w:szCs w:val="22"/>
                <w:u w:val="single"/>
              </w:rPr>
              <w:t>.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Общество с ограниченной ответственностью «СТРОЙМОНТАЖАВТОМАТИКА ПЛЮС» (ООО «СТРОЙМОНТАЖАВТОМАТИКА ПЛЮС»)</w:t>
            </w:r>
            <w:r>
              <w:rPr>
                <w:color w:val="000000"/>
                <w:sz w:val="22"/>
                <w:szCs w:val="22"/>
              </w:rPr>
              <w:t xml:space="preserve">, в лице директора Черниковой Елены Викторовны, действующего на основании Устава, именуемое в дальнейшем «Подрядчик», с одной стороны, и </w:t>
            </w:r>
            <w:r>
              <w:rPr>
                <w:b/>
                <w:bCs/>
                <w:sz w:val="22"/>
                <w:szCs w:val="22"/>
              </w:rPr>
              <w:t>_____________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действующий на основании Свидетельства, именуемый в дальнейшем «Заказчик», с другой стороны, заключили настоящий Договор о нижеследующем: 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rPr>
          <w:trHeight w:val="340" w:hRule="atLeast"/>
        </w:trPr>
        <w:tc>
          <w:tcPr>
            <w:tcW w:w="1134" w:type="dxa"/>
            <w:gridSpan w:val="3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7343" w:type="dxa"/>
            <w:gridSpan w:val="4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 Предмет договора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gridSpan w:val="2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rPr>
          <w:trHeight w:val="90" w:hRule="atLeast"/>
        </w:trP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 Подрядчик  принимает  на  себя  обязательства   по  техническому    обслуживанию    исправных    и    работоспособных   установок: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Систем пожарной </w:t>
            </w:r>
            <w:r>
              <w:rPr>
                <w:b/>
                <w:bCs/>
                <w:sz w:val="22"/>
                <w:szCs w:val="22"/>
                <w:u w:val="single"/>
              </w:rPr>
              <w:t>сигнализации,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right="-142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смонтированных   на  объекте  Заказчика: 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9923"/>
              </w:tabs>
              <w:spacing w:line="240" w:lineRule="auto"/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_____________________________________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9923"/>
              </w:tabs>
              <w:spacing w:line="240" w:lineRule="auto"/>
              <w:ind w:left="0" w:hanging="2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rPr>
          <w:trHeight w:val="267" w:hRule="atLeast"/>
        </w:trP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 Техническое  обслуживание  включает  в  себя: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- осуществление  плановых  регламентных  работ,  необходимых  для  содержания  установок  в  исправном           рабочем  состоянии;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-  осуществление  технического  надзора  за  правильным  содержанием   и  организацией  эксплуатации                 установок  Заказчиком;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rPr>
          <w:trHeight w:val="437" w:hRule="atLeast"/>
        </w:trP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-  устранение  неисправностей  по  вызову  Заказчика  (в  объеме  текущего  ремонта);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rPr>
          <w:trHeight w:val="680" w:hRule="atLeast"/>
        </w:trP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-  оказание  технической  помощи  Заказчику  в  вопросах,  касающихся    эксплуатации    установок (проведение    инструктажа,  составление  инструкций эксплуатации  установок  и  т. д.);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rPr>
          <w:trHeight w:val="680" w:hRule="atLeast"/>
        </w:trP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2. Порядок выполнения работ по техническому обслуживанию 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2.1. Выполнение  работ  осуществляется  по  графику,  составленному  Подрядчиком  и  согласованному  с  Заказчиком.    Периодичность   проведения   регламентных   работ   устанавливается  один раз в месяц и отображается в графике проведения технического обслуживания на год; (приложение №1 настоящего договора).  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  <w:vMerge w:val="restart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2.2. После  окончания  работ  по  техническому  обслуживанию  Подрядчиком,  Заказчик  подтверждает  их  выполнение,  принимает  установки  для  дальнейшей  эксплуатации,  подписывает  акт выполненных работ. </w:t>
            </w:r>
            <w:r>
              <w:rPr>
                <w:sz w:val="22"/>
                <w:szCs w:val="22"/>
              </w:rPr>
              <w:t>Производится  запись  в  журнале  технического  обслуживания, ответственным лицом за эксплуатацию установок  в соответствии  с  рабочим  документом   РД  009-02-96  по техническому  обслуживанию, и  правилами   технического  содержания  РД  009-01-96.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 «Исполнитель оказывает услуги по обслуживанию на основании действующей лицензии №36-06-2018-004226 (Л014-00101-36/00119083), а также в строгом соответствии с требованиями РД 009-01-96 и с учетом норм и требований ГОСТ Р 59638-2021.»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sz w:val="22"/>
                <w:szCs w:val="22"/>
              </w:rPr>
            </w:pP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rPr>
          <w:trHeight w:val="1538" w:hRule="atLeast"/>
        </w:trP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rPr>
          <w:trHeight w:val="559" w:hRule="atLeast"/>
        </w:trP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 Стоимость выполненных  работ  и  порядок  расчетов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  <w:vMerge w:val="restart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3.1. Стоимость технического обслуживания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 xml:space="preserve">       </w:t>
            </w: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систем  пожарной сигнализации,  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смонтированных на объекте заказчика, расположенного по адресу: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sz w:val="22"/>
                <w:szCs w:val="22"/>
                <w:u w:val="single"/>
              </w:rPr>
            </w:pP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</w:t>
            </w:r>
            <w:r>
              <w:rPr>
                <w:color w:val="000000"/>
                <w:sz w:val="22"/>
                <w:szCs w:val="22"/>
              </w:rPr>
              <w:t xml:space="preserve">         определяется согласно договорной цене и составляет в год</w:t>
            </w:r>
            <w:r>
              <w:rPr>
                <w:sz w:val="22"/>
                <w:szCs w:val="22"/>
              </w:rPr>
              <w:t>______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руб. (</w:t>
            </w:r>
            <w:r>
              <w:rPr>
                <w:b/>
                <w:bCs/>
                <w:sz w:val="22"/>
                <w:szCs w:val="22"/>
              </w:rPr>
              <w:t>____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тысяч  рублей </w:t>
            </w:r>
            <w:r>
              <w:rPr>
                <w:b/>
                <w:bCs/>
                <w:sz w:val="22"/>
                <w:szCs w:val="22"/>
              </w:rPr>
              <w:t>___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копеек), </w:t>
            </w:r>
            <w:r>
              <w:rPr>
                <w:color w:val="000000"/>
                <w:sz w:val="22"/>
                <w:szCs w:val="22"/>
              </w:rPr>
              <w:t xml:space="preserve">в месяц </w:t>
            </w:r>
            <w:r>
              <w:rPr>
                <w:b/>
                <w:bCs/>
                <w:sz w:val="22"/>
                <w:szCs w:val="22"/>
              </w:rPr>
              <w:t>________</w:t>
            </w:r>
            <w:r>
              <w:rPr>
                <w:b/>
                <w:bCs/>
                <w:color w:val="000000"/>
                <w:sz w:val="22"/>
                <w:szCs w:val="22"/>
              </w:rPr>
              <w:t>руб. (</w:t>
            </w:r>
            <w:r>
              <w:rPr>
                <w:b/>
                <w:bCs/>
                <w:sz w:val="22"/>
                <w:szCs w:val="22"/>
              </w:rPr>
              <w:t>_____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тысяча </w:t>
            </w:r>
            <w:r>
              <w:rPr>
                <w:b/>
                <w:bCs/>
                <w:sz w:val="22"/>
                <w:szCs w:val="22"/>
              </w:rPr>
              <w:t>____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рублей 00 копеек). </w:t>
            </w:r>
            <w:r>
              <w:rPr>
                <w:sz w:val="22"/>
                <w:szCs w:val="22"/>
              </w:rPr>
              <w:t>НДС не облагается в связи с тем, что Подрядчик применяет упрощенную систему налогообложения, на основании п. 2 ст. 346.11 глава 26.2 НК РФ и не является плательщиком НДС.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rPr>
          <w:trHeight w:val="68" w:hRule="atLeast"/>
        </w:trP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3.2.  Оплата  за  выполнение Подрядчиком  работы  за  техническое обслуживание установок производится Заказчиком на основании двухстороннего акта выполненных работ, составленного в соответствии с п.2.2. настоящего договора, расчета стоимости работ, составленного в соответствии с п.3.1. настоящего договора и счета на оплату  в течение 14 (четырнадцати) рабочих дней с момента подписания Сторонами  акта в</w:t>
            </w:r>
            <w:r>
              <w:rPr>
                <w:sz w:val="22"/>
                <w:szCs w:val="22"/>
              </w:rPr>
              <w:t xml:space="preserve">ыполненных работ.  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 За несвоевременное внесение платежа Заказчик уплачивает Исполнителю неустойку в размере 0,5% от общей суммы просроченного платежа за каждый день просрочки.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 Стороны согласовывают, что сумма договора подлежит ежегодной индексации с целью компенсации инфляции. Индексация производится один раз в год,  на основании официального уровня инфляции за предыдущий календарный год, опубликованного уполномоченным государственным органом.Изменение суммы оформляется дополнительным соглашением.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Расчеты по капитальному ремонту установок,  или по  восстановлению  установки,  не предусмотрены регламентом на техническое обслуживание  и  производятся на основании смет, согласованных сторонами и актов  выполненных  ремонтных  работ  и  подлежат  дополнительной  оплате.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rPr>
          <w:trHeight w:val="363" w:hRule="atLeast"/>
        </w:trP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4. Гарантии и санкции   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  Подрядчик  гарантирует: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- соблюдение  графика  технического  обслуживания;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- выполнение  работ  перечисленных в  п. 1.2.  настоящего  договора;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rPr>
          <w:trHeight w:val="169" w:hRule="atLeast"/>
        </w:trP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- высокое  качество  работ  по  техническому  обслуживанию  систем.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4.2.  Настоящий  договор на выполнение  работ по техническому  обслуживанию не снимает  ответственности  с  администрации  Заказчика  за  неправильную  эксплуатацию  установок.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rPr>
          <w:trHeight w:val="422" w:hRule="atLeast"/>
        </w:trP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4.3.1. Любая из сторон настоящего договора, не исполнившая обязательств по договору или исполнившая их ненадлежащим образом, несет ответственность за упомянутое при наличии вины (умысла или неосторожности).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4.3.2. Подрядчик несет ответственность по возмещению убытков от пожаров при отказе срабатывания установок пожарной сигнализации  в случаях, если по решению соответствующих органов (государственной противопожарной службы, независимой экспертизы либо суда) будет установлено, что сигнализация не сработала по вине Подрядчика.  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240"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4.4.  В  случае  невыполнения  Заказчиком  рекомендаций  Подрядчика  или  нарушения  сроков  платежей  за  техническое  обслуживание  Подрядчик  вправе  прекратить  работы  по  техническому  обслуживанию, предварительно  сообщив  об  этом  Заказчику, с  соответствующей  записью в журналах о приостановке  работ по техническому обслуживанию.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4.5.  В  случае  невыполнения  Подрядчиком  требований  п.4.1.  настоящего  договора  Заказчик  </w:t>
            </w:r>
            <w:r>
              <w:rPr>
                <w:sz w:val="22"/>
                <w:szCs w:val="22"/>
              </w:rPr>
              <w:t>вправе</w:t>
            </w:r>
            <w:r>
              <w:rPr>
                <w:color w:val="000000"/>
                <w:sz w:val="22"/>
                <w:szCs w:val="22"/>
              </w:rPr>
              <w:t xml:space="preserve">                   задержать  оплату  за  выполненные  работы  и сообщить  о нарушении  условий  договора  Подрядчику и его   вышестоящей  организации.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4.6.  При  изменении  ценообразующих  факторов  договорная  цена  может быть изменена.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rPr>
          <w:trHeight w:val="760" w:hRule="atLeast"/>
        </w:trP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5. Расчет стоимости работ 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  <w:tbl>
            <w:tblPr>
              <w:tblStyle w:val="94"/>
              <w:tblW w:w="19986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700"/>
              <w:gridCol w:w="3544"/>
              <w:gridCol w:w="1984"/>
              <w:gridCol w:w="2835"/>
              <w:gridCol w:w="9923"/>
            </w:tblGrid>
            <w:tr>
              <w:tc>
                <w:tcPr>
                  <w:tcW w:w="17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Наименование, тип системы</w:t>
                  </w:r>
                </w:p>
              </w:tc>
              <w:tc>
                <w:tcPr>
                  <w:tcW w:w="35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Цена за проведение технического обслуживания указанных в пункте 1.1 настоящего договора объектов в месяц</w:t>
                  </w:r>
                </w:p>
              </w:tc>
              <w:tc>
                <w:tcPr>
                  <w:tcW w:w="19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Периодичность выполнения работ кол. в год</w:t>
                  </w:r>
                </w:p>
              </w:tc>
              <w:tc>
                <w:tcPr>
                  <w:tcW w:w="28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Стоимость исполнения работ по техобслуживанию в соответствии с уст. периодичностью в год</w:t>
                  </w:r>
                </w:p>
              </w:tc>
              <w:tc>
                <w:tcPr>
                  <w:tcW w:w="9923" w:type="dxa"/>
                  <w:tcBorders>
                    <w:left w:val="single" w:color="000000" w:sz="4" w:space="0"/>
                  </w:tcBorders>
                </w:tcPr>
                <w:p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right="284" w:hanging="2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>
              <w:tc>
                <w:tcPr>
                  <w:tcW w:w="17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5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rPr>
                      <w:color w:val="000000"/>
                      <w:sz w:val="22"/>
                      <w:szCs w:val="22"/>
                    </w:rPr>
                  </w:pPr>
                </w:p>
                <w:p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923" w:type="dxa"/>
                  <w:tcBorders>
                    <w:left w:val="single" w:color="000000" w:sz="4" w:space="0"/>
                  </w:tcBorders>
                </w:tcPr>
                <w:p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right="284" w:hanging="2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>
              <w:tc>
                <w:tcPr>
                  <w:tcW w:w="17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35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widowControl w:val="0"/>
                    <w:ind w:left="0" w:hanging="2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923" w:type="dxa"/>
                  <w:tcBorders>
                    <w:left w:val="single" w:color="000000" w:sz="4" w:space="0"/>
                  </w:tcBorders>
                </w:tcPr>
                <w:p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right="284" w:hanging="2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rPr>
          <w:trHeight w:val="312" w:hRule="atLeast"/>
        </w:trP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72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6. </w:t>
            </w:r>
            <w:r>
              <w:rPr>
                <w:b/>
                <w:bCs/>
                <w:color w:val="000000"/>
                <w:sz w:val="22"/>
                <w:szCs w:val="22"/>
              </w:rPr>
              <w:t>Особые  условия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 договору на техническое обслуживание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6.1.  Настоящие  условия  являются  неотъемлемой частью договора  на  производства  работ  по техническому          обслуживанию  установок.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0"/>
              </w:tabs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Заказчик  обязан:  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до  начала работ  по  настоящему  договору  назначить  приказом  (по  предприятию,              организации, учреждению):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0"/>
              </w:tabs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 xml:space="preserve">ответственное лицо  за содержание  и организацию эксплуатации  сдающихся  на  техническое  обслуживание  установок,  за  обеспечение  их  работоспособности,  </w:t>
            </w:r>
            <w:r>
              <w:rPr>
                <w:sz w:val="22"/>
                <w:szCs w:val="22"/>
              </w:rPr>
              <w:t>уполномочил</w:t>
            </w:r>
            <w:r>
              <w:rPr>
                <w:color w:val="000000"/>
                <w:sz w:val="22"/>
                <w:szCs w:val="22"/>
              </w:rPr>
              <w:t xml:space="preserve">  его  принять  работы  у Подрядчика  и подписывать документацию  на </w:t>
            </w:r>
            <w:r>
              <w:rPr>
                <w:sz w:val="22"/>
                <w:szCs w:val="22"/>
              </w:rPr>
              <w:t>выполненные</w:t>
            </w:r>
            <w:r>
              <w:rPr>
                <w:color w:val="000000"/>
                <w:sz w:val="22"/>
                <w:szCs w:val="22"/>
              </w:rPr>
              <w:t xml:space="preserve"> Подрядчиком  работы;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0"/>
              </w:tabs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оперативный (дежурный) персонал для контроля за состоянием установок, а также вызова пожарной охраны в случае возникновения пожара;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  представить Подрядчику  для ознакомления  всю имеющуюся  у него  техническую  и эксплуатационную  документацию  на   все  установки   (проекты,  акты  сдачи  их   в  эксплуатацию,   акты  гидравлических  испытаний сосудов,  работающих  под давлением,  паспорта  и  др.);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 xml:space="preserve"> -  незамедлительно направлять Подрядчику по телефону (473) 229-65-00 сообщение при обнаружении отказов установок в работе.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6.2.2.</w:t>
            </w:r>
            <w:r>
              <w:rPr>
                <w:b/>
                <w:bCs/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Лицо, ответственное за эксплуатацию установок пожарной автоматики, обязано обеспечить: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выполнение требований настоящих правил;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приемку работ по ТО и ППР в соответствии  с графиком и календарным планом работ по договору;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- обучение дежурного персонала, а также инструктаж лиц, работающих в защищаемых помещениях, действиям при срабатывании пожарной автоматики;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разработку необходимой эксплуатационной документации в соответствии с </w:t>
            </w:r>
            <w:r>
              <w:fldChar w:fldCharType="begin"/>
            </w:r>
            <w:r>
              <w:instrText xml:space="preserve"> HYPERLINK "http://ohranatruda.ru/ot_biblio/normativ/data_normativ/7/7248/" \l "i25215" \h </w:instrText>
            </w:r>
            <w:r>
              <w:fldChar w:fldCharType="separate"/>
            </w:r>
            <w:r>
              <w:rPr>
                <w:color w:val="0000FF"/>
                <w:sz w:val="22"/>
                <w:szCs w:val="22"/>
                <w:u w:val="single"/>
              </w:rPr>
              <w:t>п. 1.5.1</w:t>
            </w:r>
            <w:r>
              <w:rPr>
                <w:color w:val="0000FF"/>
                <w:sz w:val="22"/>
                <w:szCs w:val="22"/>
                <w:u w:val="single"/>
              </w:rPr>
              <w:fldChar w:fldCharType="end"/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highlight w:val="white"/>
              </w:rPr>
              <w:t>РД 009-01-96</w:t>
            </w:r>
            <w:r>
              <w:rPr>
                <w:color w:val="000000"/>
                <w:sz w:val="22"/>
                <w:szCs w:val="22"/>
              </w:rPr>
              <w:t>  и ее ведение;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передачу информации в соответствующие органы управления Государственной противопожарной службы о всех случаях отказов и срабатывания установок;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33333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своевременное предъявление рекламаций обслуживающим организациям - за несвоевременное и некачественное проведение ТО и ППР установок и средств пожарной автоматики.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6.2.3.</w:t>
            </w:r>
            <w:r>
              <w:rPr>
                <w:color w:val="000000"/>
                <w:sz w:val="22"/>
                <w:szCs w:val="22"/>
              </w:rPr>
              <w:t xml:space="preserve"> Оперативный (дежурный) персонал должен знать: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Инструкцию для оперативного (дежурного персонала), разработанную Подрядчиком;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тактико-технические характеристики приборов и оборудования установок пожарной автоматики, смонтированных на предприятии, и принцип их действия;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наименование, назначение и местонахождение защищаемых (контролируемых) установками помещений;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порядок пуска установки пожарной автоматики в ручном режиме;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порядок ведения оперативной документации;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порядок контроля работоспособного состояния установки пожарной автоматики на объектах;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порядок вызова пожарной охраны.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6.3.   Во  время  действия  договора  на  техническое  обслуживание  Заказчик  обязан: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  обеспечить  своевременный  допуск  Подрядчика  к  обслуживаемым  установкам;                                                  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 контролировать  качество  выполнения  работ  и  осуществлять  их  приемку;  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  <w:vMerge w:val="restart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 предоставлять  технически  исправные,  прошедшие техническое освидетельствование  грузоподъемные и транспортные  средства   при   условии   предъявления   персоналом   Подрядчика   </w:t>
            </w:r>
            <w:r>
              <w:rPr>
                <w:sz w:val="22"/>
                <w:szCs w:val="22"/>
              </w:rPr>
              <w:t>не просроченных</w:t>
            </w:r>
            <w:r>
              <w:rPr>
                <w:color w:val="000000"/>
                <w:sz w:val="22"/>
                <w:szCs w:val="22"/>
              </w:rPr>
              <w:t xml:space="preserve">    удостоверений  по  технике  безопасности  представителем  Заказчика;                                                                         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-  оформлять  наряд-допуск  на  выполнение  особо  опасных  работ.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6.4.  Персонал   Заказчика   обязан   ознакомить   Подрядчика   под   расписку   с   действующими   на   данных объектах  правилами,  нормами  и  инструкциями  по  технике  безопасности,  производственной санитарии и  правилами  внутреннего  трудового  распорядка.   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6.5. Подрядчик  несет  ответственность  за соответствие  и  уровень  квалификации  своего  персонала,  за  его    обучение   и   аттестацию   по   правилам   техники   безопасности   и   за   проведение   своему   персоналу  инструктажа  по  технике  безопасности  на  рабочих  местах.</w:t>
            </w: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rPr>
          <w:trHeight w:val="1235" w:hRule="atLeast"/>
        </w:trP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217" w:type="dxa"/>
            <w:gridSpan w:val="8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6.6.  Персонал   Подрядчика   обязан   устранить возникшие неполадки на объектах Заказчика в течение 18 часов с момента вызова, согласно Методических рекомендаций «Автоматические системы пожаротушения и пожарной сигнализации. Правила приемки и контроля» глава 7, пункт 38.4.  Указанные Методические рекомендации согласованы ГУГПС МВД России (письмо от 28.12.98г. №20/2.2/3144), утверждены начальником ВНИИПО МВД России Н. П. Копыловым 31 декабря 1998г.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6.7.  Перечень услуг не входящих в регламент на техническое обслуживание систем пожарной безопасности и подлежащие дополнительной оплате: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Выезд персонала Подрядчика для отключения, подключения и постановки в дежурный режим  систем пожарной, охранной сигнализаций, системы дымоудаления - по инициативе Заказчика – 1000 руб.;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Выезд персонала Подрядчика в связи с повреждением системы пожарной безопасности  (самовольное перемещение, обрыв элементов сигнализации и т.д.) Заказчиком или его представителем – 1000 руб.;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 Выезд персонала Подрядчика в связи с самовольным отключением систем пожарной безопасности и последующим ее подключением и постановкой в дежурный режим  – 2000 руб.;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30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rPr>
          <w:trHeight w:val="333" w:hRule="atLeast"/>
        </w:trP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9825" w:type="dxa"/>
            <w:gridSpan w:val="7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72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7. </w:t>
            </w:r>
            <w:r>
              <w:rPr>
                <w:b/>
                <w:bCs/>
                <w:color w:val="000000"/>
                <w:sz w:val="22"/>
                <w:szCs w:val="22"/>
              </w:rPr>
              <w:t>Срок  действия  договора</w:t>
            </w:r>
          </w:p>
        </w:tc>
        <w:tc>
          <w:tcPr>
            <w:tcW w:w="722" w:type="dxa"/>
            <w:gridSpan w:val="2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rPr>
          <w:trHeight w:val="80" w:hRule="atLeast"/>
        </w:trP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829" w:type="dxa"/>
            <w:gridSpan w:val="4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7.1.  Договор  заключается  на  срок  с </w:t>
            </w:r>
          </w:p>
        </w:tc>
        <w:tc>
          <w:tcPr>
            <w:tcW w:w="6718" w:type="dxa"/>
            <w:gridSpan w:val="5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« </w:t>
            </w:r>
            <w:r>
              <w:rPr>
                <w:sz w:val="22"/>
                <w:szCs w:val="22"/>
                <w:u w:val="single"/>
              </w:rPr>
              <w:t>__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»  </w:t>
            </w:r>
            <w:r>
              <w:rPr>
                <w:sz w:val="22"/>
                <w:szCs w:val="22"/>
                <w:u w:val="single"/>
              </w:rPr>
              <w:t>______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 2026 г</w:t>
            </w:r>
            <w:r>
              <w:rPr>
                <w:color w:val="000000"/>
                <w:sz w:val="22"/>
                <w:szCs w:val="22"/>
              </w:rPr>
              <w:t xml:space="preserve">.  и действует до  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«  » </w:t>
            </w:r>
            <w:r>
              <w:rPr>
                <w:sz w:val="22"/>
                <w:szCs w:val="22"/>
                <w:u w:val="single"/>
              </w:rPr>
              <w:t>___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 2026</w:t>
            </w:r>
            <w:r>
              <w:rPr>
                <w:color w:val="000000"/>
                <w:sz w:val="22"/>
                <w:szCs w:val="22"/>
              </w:rPr>
              <w:t xml:space="preserve"> г.</w:t>
            </w: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547" w:type="dxa"/>
            <w:gridSpan w:val="9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Договор считается продленным на каждый последующий год, если ни одна из сторон не заявит о его расторжении за 30 дней до окончания срока действия договора. 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Настоящий  договор  по  требованию  одной  из  сторон  может  быть  расторгнут  до  истечения  срока  его        действия,  с  предупреждением  другой  стороны за  30  дней  с  указанием  мотивов  расторжения.</w:t>
            </w: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547" w:type="dxa"/>
            <w:gridSpan w:val="9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7.2.  Договор составляется  в 2-х  экземплярах, из которых один хранится  у Заказчика, а второй  у Подрядчика.</w:t>
            </w: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547" w:type="dxa"/>
            <w:gridSpan w:val="9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7.3. Все  споры  по  настоящему  договору  разрешаются  вышестоящими  организациями  или  в Арбитражном суде Воронежской области.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sz w:val="22"/>
                <w:szCs w:val="22"/>
              </w:rPr>
            </w:pP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8. Реквизиты сторон</w:t>
            </w:r>
          </w:p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  <w:tbl>
            <w:tblPr>
              <w:tblStyle w:val="95"/>
              <w:tblW w:w="10206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024"/>
              <w:gridCol w:w="5182"/>
            </w:tblGrid>
            <w:tr>
              <w:trPr>
                <w:trHeight w:val="3619" w:hRule="atLeast"/>
              </w:trPr>
              <w:tc>
                <w:tcPr>
                  <w:tcW w:w="5024" w:type="dxa"/>
                </w:tcPr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Подрядчик:</w:t>
                  </w:r>
                </w:p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ООО «СТРОЙМОНТАЖАВТОМАТИКА ПЛЮС»</w:t>
                  </w:r>
                </w:p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Юр. адрес: 394052, г. Воронеж, </w:t>
                  </w:r>
                </w:p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ул. Черняховского, д. 38а, оф. 7</w:t>
                  </w:r>
                </w:p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right="-66" w:hanging="2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ИНН 3664096320, КПП 366401001</w:t>
                  </w:r>
                </w:p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ОГРН 1093668008730</w:t>
                  </w:r>
                </w:p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р/с  40702810300000055288</w:t>
                  </w:r>
                </w:p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АО "РАЙФФАЙЗЕНБАНК" Г. МОСКВА </w:t>
                  </w:r>
                </w:p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к/с   30101810200000000700</w:t>
                  </w:r>
                </w:p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БИК 044525700</w:t>
                  </w:r>
                </w:p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Тел/факс (473) 229-65-00</w:t>
                  </w:r>
                </w:p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e-mail: </w:t>
                  </w:r>
                  <w:r>
                    <w:t>info@smaplus.ru</w:t>
                  </w:r>
                </w:p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rPr>
                      <w:sz w:val="22"/>
                      <w:szCs w:val="22"/>
                    </w:rPr>
                  </w:pPr>
                </w:p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rPr>
                      <w:sz w:val="22"/>
                      <w:szCs w:val="22"/>
                    </w:rPr>
                  </w:pPr>
                </w:p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182" w:type="dxa"/>
                </w:tcPr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Заказчик:</w:t>
                  </w:r>
                </w:p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jc w:val="both"/>
                    <w:rPr>
                      <w:color w:val="00000A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547" w:type="dxa"/>
            <w:gridSpan w:val="9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  <w:tbl>
            <w:tblPr>
              <w:tblStyle w:val="96"/>
              <w:tblW w:w="10048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511"/>
              <w:gridCol w:w="2512"/>
              <w:gridCol w:w="2512"/>
              <w:gridCol w:w="2513"/>
            </w:tblGrid>
            <w:tr>
              <w:tc>
                <w:tcPr>
                  <w:tcW w:w="2512" w:type="dxa"/>
                </w:tcPr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Подрядчик </w:t>
                  </w:r>
                </w:p>
              </w:tc>
              <w:tc>
                <w:tcPr>
                  <w:tcW w:w="2512" w:type="dxa"/>
                </w:tcPr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Директор</w:t>
                  </w:r>
                </w:p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512" w:type="dxa"/>
                </w:tcPr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Заказчик </w:t>
                  </w:r>
                </w:p>
              </w:tc>
              <w:tc>
                <w:tcPr>
                  <w:tcW w:w="2513" w:type="dxa"/>
                </w:tcPr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>
              <w:tc>
                <w:tcPr>
                  <w:tcW w:w="2512" w:type="dxa"/>
                </w:tcPr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_____________</w:t>
                  </w:r>
                </w:p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МП</w:t>
                  </w:r>
                </w:p>
              </w:tc>
              <w:tc>
                <w:tcPr>
                  <w:tcW w:w="2512" w:type="dxa"/>
                </w:tcPr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 Черникова Е.В. </w:t>
                  </w:r>
                </w:p>
              </w:tc>
              <w:tc>
                <w:tcPr>
                  <w:tcW w:w="2512" w:type="dxa"/>
                </w:tcPr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_______________</w:t>
                  </w:r>
                </w:p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МП</w:t>
                  </w:r>
                </w:p>
              </w:tc>
              <w:tc>
                <w:tcPr>
                  <w:tcW w:w="2513" w:type="dxa"/>
                </w:tcPr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>
              <w:tc>
                <w:tcPr>
                  <w:tcW w:w="2512" w:type="dxa"/>
                </w:tcPr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512" w:type="dxa"/>
                </w:tcPr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512" w:type="dxa"/>
                </w:tcPr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513" w:type="dxa"/>
                </w:tcPr>
                <w:p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40" w:lineRule="auto"/>
                    <w:ind w:left="0" w:hanging="2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240" w:type="dxa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0547" w:type="dxa"/>
            <w:gridSpan w:val="9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jc w:val="right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jc w:val="right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Приложение №1 к договору № </w:t>
      </w:r>
      <w:r>
        <w:rPr>
          <w:sz w:val="22"/>
          <w:szCs w:val="22"/>
        </w:rPr>
        <w:t>___</w:t>
      </w:r>
      <w:r>
        <w:rPr>
          <w:color w:val="000000"/>
          <w:sz w:val="22"/>
          <w:szCs w:val="22"/>
        </w:rPr>
        <w:t>от «</w:t>
      </w:r>
      <w:r>
        <w:rPr>
          <w:sz w:val="22"/>
          <w:szCs w:val="22"/>
        </w:rPr>
        <w:t>__</w:t>
      </w:r>
      <w:r>
        <w:rPr>
          <w:color w:val="000000"/>
          <w:sz w:val="22"/>
          <w:szCs w:val="22"/>
        </w:rPr>
        <w:t xml:space="preserve">» </w:t>
      </w:r>
      <w:r>
        <w:rPr>
          <w:sz w:val="22"/>
          <w:szCs w:val="22"/>
        </w:rPr>
        <w:t>___</w:t>
      </w:r>
      <w:r>
        <w:rPr>
          <w:color w:val="000000"/>
          <w:sz w:val="22"/>
          <w:szCs w:val="22"/>
        </w:rPr>
        <w:t xml:space="preserve"> 2026 г.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  <w:sz w:val="22"/>
          <w:szCs w:val="22"/>
        </w:rPr>
      </w:pPr>
    </w:p>
    <w:tbl>
      <w:tblPr>
        <w:tblStyle w:val="97"/>
        <w:tblW w:w="9690" w:type="dxa"/>
        <w:tblInd w:w="-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065"/>
        <w:gridCol w:w="2625"/>
      </w:tblGrid>
      <w:tr>
        <w:trPr>
          <w:trHeight w:val="227" w:hRule="atLeast"/>
        </w:trPr>
        <w:tc>
          <w:tcPr>
            <w:tcW w:w="7065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График </w:t>
            </w:r>
            <w:r>
              <w:rPr>
                <w:b/>
                <w:bCs/>
                <w:color w:val="000000"/>
                <w:sz w:val="22"/>
                <w:szCs w:val="22"/>
              </w:rPr>
              <w:t>проведения  технического обслуживания   на</w:t>
            </w:r>
          </w:p>
        </w:tc>
        <w:tc>
          <w:tcPr>
            <w:tcW w:w="2625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2026 г.г.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tbl>
      <w:tblPr>
        <w:tblStyle w:val="10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0"/>
        <w:gridCol w:w="543"/>
        <w:gridCol w:w="565"/>
        <w:gridCol w:w="554"/>
        <w:gridCol w:w="491"/>
        <w:gridCol w:w="465"/>
        <w:gridCol w:w="611"/>
        <w:gridCol w:w="603"/>
        <w:gridCol w:w="457"/>
        <w:gridCol w:w="575"/>
        <w:gridCol w:w="479"/>
        <w:gridCol w:w="606"/>
        <w:gridCol w:w="537"/>
      </w:tblGrid>
      <w:t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0" w:leftChars="0" w:hanging="2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0" w:type="auto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b/>
                <w:bCs/>
                <w:color w:val="000000"/>
                <w:position w:val="0"/>
                <w:sz w:val="22"/>
                <w:szCs w:val="22"/>
                <w:lang w:eastAsia="ru-RU"/>
              </w:rPr>
              <w:t>        2026</w:t>
            </w:r>
          </w:p>
          <w:p>
            <w:pPr>
              <w:spacing w:line="240" w:lineRule="auto"/>
              <w:ind w:left="0" w:leftChars="0" w:firstLine="0" w:firstLineChars="0"/>
              <w:textAlignment w:val="auto"/>
              <w:outlineLvl w:val="9"/>
              <w:rPr>
                <w:position w:val="0"/>
                <w:lang w:eastAsia="ru-RU"/>
              </w:rPr>
            </w:pPr>
          </w:p>
        </w:tc>
      </w:tr>
      <w:t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sz w:val="22"/>
                <w:szCs w:val="22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sz w:val="22"/>
                <w:szCs w:val="22"/>
                <w:lang w:eastAsia="ru-RU"/>
              </w:rPr>
              <w:t xml:space="preserve"> янв.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sz w:val="22"/>
                <w:szCs w:val="22"/>
                <w:lang w:eastAsia="ru-RU"/>
              </w:rPr>
              <w:t xml:space="preserve"> фев.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sz w:val="22"/>
                <w:szCs w:val="22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sz w:val="22"/>
                <w:szCs w:val="22"/>
                <w:lang w:eastAsia="ru-RU"/>
              </w:rPr>
              <w:t>апр.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sz w:val="22"/>
                <w:szCs w:val="22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sz w:val="22"/>
                <w:szCs w:val="22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sz w:val="22"/>
                <w:szCs w:val="22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sz w:val="22"/>
                <w:szCs w:val="22"/>
                <w:lang w:eastAsia="ru-RU"/>
              </w:rPr>
              <w:t>авг.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sz w:val="22"/>
                <w:szCs w:val="22"/>
                <w:lang w:eastAsia="ru-RU"/>
              </w:rPr>
              <w:t>сент.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sz w:val="22"/>
                <w:szCs w:val="22"/>
                <w:lang w:eastAsia="ru-RU"/>
              </w:rPr>
              <w:t>окт.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sz w:val="22"/>
                <w:szCs w:val="22"/>
                <w:lang w:eastAsia="ru-RU"/>
              </w:rPr>
              <w:t>нояб.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sz w:val="22"/>
                <w:szCs w:val="22"/>
                <w:lang w:eastAsia="ru-RU"/>
              </w:rPr>
              <w:t xml:space="preserve"> дек.</w:t>
            </w:r>
          </w:p>
        </w:tc>
      </w:tr>
      <w:t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-2" w:leftChars="0" w:hanging="2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-2" w:leftChars="0" w:hanging="2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-2" w:leftChars="0" w:hanging="2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-2" w:leftChars="0" w:hanging="2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line="240" w:lineRule="auto"/>
              <w:ind w:left="-2" w:leftChars="0" w:hanging="2" w:firstLineChars="0"/>
              <w:jc w:val="center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color w:val="000000"/>
                <w:position w:val="0"/>
                <w:lang w:eastAsia="ru-RU"/>
              </w:rPr>
              <w:t>31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  <w:sz w:val="22"/>
          <w:szCs w:val="22"/>
        </w:rPr>
      </w:pPr>
    </w:p>
    <w:tbl>
      <w:tblPr>
        <w:tblStyle w:val="99"/>
        <w:tblW w:w="10906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2512"/>
        <w:gridCol w:w="2512"/>
        <w:gridCol w:w="2513"/>
      </w:tblGrid>
      <w:tr>
        <w:tc>
          <w:tcPr>
            <w:tcW w:w="3369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Подрядчик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Заказчик </w:t>
            </w:r>
          </w:p>
        </w:tc>
        <w:tc>
          <w:tcPr>
            <w:tcW w:w="2513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3369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_______________</w:t>
            </w:r>
          </w:p>
        </w:tc>
        <w:tc>
          <w:tcPr>
            <w:tcW w:w="2512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Черникова Е.В. </w:t>
            </w:r>
          </w:p>
        </w:tc>
        <w:tc>
          <w:tcPr>
            <w:tcW w:w="2512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_______________</w:t>
            </w:r>
          </w:p>
        </w:tc>
        <w:tc>
          <w:tcPr>
            <w:tcW w:w="2513" w:type="dxa"/>
          </w:tcPr>
          <w:p>
            <w:pPr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>
        <w:tc>
          <w:tcPr>
            <w:tcW w:w="3369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2512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2513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088"/>
        </w:tabs>
        <w:spacing w:line="240" w:lineRule="auto"/>
        <w:ind w:left="0" w:leftChars="0" w:firstLine="0" w:firstLineChars="0"/>
        <w:rPr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leftChars="0" w:firstLine="0" w:firstLineChars="0"/>
        <w:rPr>
          <w:color w:val="000000"/>
          <w:sz w:val="22"/>
          <w:szCs w:val="22"/>
        </w:rPr>
      </w:pPr>
    </w:p>
    <w:sectPr>
      <w:headerReference r:id="rId5" w:type="default"/>
      <w:pgSz w:w="12240" w:h="15840"/>
      <w:pgMar w:top="425" w:right="567" w:bottom="567" w:left="567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 w:hanging="2"/>
      </w:pPr>
      <w:r>
        <w:separator/>
      </w:r>
    </w:p>
  </w:endnote>
  <w:endnote w:type="continuationSeparator" w:id="1">
    <w:p>
      <w:pPr>
        <w:spacing w:line="240" w:lineRule="auto"/>
        <w:ind w:left="-2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0000" w:usb1="00000000" w:usb2="00000000" w:usb3="00000000" w:csb0="00000000" w:csb1="00000000"/>
    <w:embedRegular r:id="rId1" w:fontKey="{C37A28D2-8A86-E727-7C6A-73697409AC0B}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Tahoma">
    <w:panose1 w:val="020B0604030504040204"/>
    <w:charset w:val="CC"/>
    <w:family w:val="swiss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00000000" w:usb1="00000000" w:usb2="00000000" w:usb3="00000000" w:csb0="00000000" w:csb1="00000000"/>
    <w:embedRegular r:id="rId2" w:fontKey="{E32EB43B-F610-51C7-7C6A-7369F4BED6DC}"/>
  </w:font>
  <w:font w:name="Microsoft YaHei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Lucida Sans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Liberation Serif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-2" w:hanging="2"/>
      </w:pPr>
      <w:r>
        <w:separator/>
      </w:r>
    </w:p>
  </w:footnote>
  <w:footnote w:type="continuationSeparator" w:id="1">
    <w:p>
      <w:pPr>
        <w:spacing w:line="240" w:lineRule="auto"/>
        <w:ind w:left="-2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2687955"/>
          <wp:effectExtent l="0" t="0" r="0" b="0"/>
          <wp:wrapNone/>
          <wp:docPr id="1" name="WordPictureWatermark267019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2670195" descr="logo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2687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w:pict>
        <v:shape id="PowerPlusWaterMarkObject3423979" o:spid="_x0000_s2050" o:spt="136" type="#_x0000_t136" style="position:absolute;left:0pt;height:2491.8pt;width:415.3pt;mso-position-horizontal:center;mso-position-horizontal-relative:margin;mso-position-vertical:center;mso-position-vertical-relative:margin;z-index:-251656192;mso-width-relative:page;mso-height-relative:page;" fillcolor="#FFFFFF" filled="t" stroked="f" coordsize="21600,21600" adj="10800">
          <v:path/>
          <v:fill on="t" opacity="38010f" focussize="0,0"/>
          <v:stroke on="f"/>
          <v:imagedata o:title=""/>
          <o:lock v:ext="edit" aspectratio="t"/>
          <v:textpath on="t" fitshape="t" fitpath="t" trim="t" xscale="f" string="." style="font-family:.AppleSystemUIFont;font-size:36pt;v-same-letter-heights:f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A5538E"/>
    <w:multiLevelType w:val="multilevel"/>
    <w:tmpl w:val="73A5538E"/>
    <w:lvl w:ilvl="0" w:tentative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TrueTypeFonts/>
  <w:documentProtection w:enforcement="0"/>
  <w:defaultTabStop w:val="72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EC4"/>
    <w:rsid w:val="00A41EC4"/>
    <w:rsid w:val="00C742E9"/>
    <w:rsid w:val="00DD3511"/>
    <w:rsid w:val="CF9A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1" w:lineRule="atLeast"/>
      <w:ind w:left="-1" w:leftChars="-1" w:hanging="1" w:hangingChars="1"/>
      <w:textAlignment w:val="top"/>
      <w:outlineLvl w:val="0"/>
    </w:pPr>
    <w:rPr>
      <w:rFonts w:ascii="Times New Roman" w:hAnsi="Times New Roman" w:eastAsia="Times New Roman" w:cs="Times New Roman"/>
      <w:position w:val="-1"/>
      <w:sz w:val="24"/>
      <w:szCs w:val="24"/>
      <w:lang w:val="ru-RU" w:eastAsia="ar-SA" w:bidi="ar-SA"/>
    </w:rPr>
  </w:style>
  <w:style w:type="paragraph" w:styleId="2">
    <w:name w:val="heading 1"/>
    <w:basedOn w:val="1"/>
    <w:next w:val="3"/>
    <w:qFormat/>
    <w:uiPriority w:val="0"/>
    <w:pPr>
      <w:numPr>
        <w:ilvl w:val="0"/>
        <w:numId w:val="1"/>
      </w:numPr>
      <w:tabs>
        <w:tab w:val="left" w:pos="0"/>
      </w:tabs>
      <w:spacing w:before="280" w:after="280"/>
      <w:ind w:left="-1" w:hanging="1"/>
    </w:pPr>
    <w:rPr>
      <w:b/>
      <w:bCs/>
      <w:kern w:val="1"/>
      <w:sz w:val="48"/>
      <w:szCs w:val="48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6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bCs/>
    </w:rPr>
  </w:style>
  <w:style w:type="paragraph" w:styleId="7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8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both"/>
    </w:pPr>
  </w:style>
  <w:style w:type="paragraph" w:styleId="11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12">
    <w:name w:val="Body Text Indent"/>
    <w:basedOn w:val="1"/>
    <w:qFormat/>
    <w:uiPriority w:val="0"/>
    <w:pPr>
      <w:spacing w:after="120" w:line="276" w:lineRule="auto"/>
      <w:ind w:left="283" w:firstLine="0"/>
    </w:pPr>
    <w:rPr>
      <w:rFonts w:ascii="Calibri" w:hAnsi="Calibri" w:eastAsia="Calibri"/>
      <w:sz w:val="22"/>
      <w:szCs w:val="22"/>
    </w:rPr>
  </w:style>
  <w:style w:type="paragraph" w:styleId="13">
    <w:name w:val="annotation subject"/>
    <w:basedOn w:val="14"/>
    <w:next w:val="14"/>
    <w:qFormat/>
    <w:uiPriority w:val="0"/>
    <w:rPr>
      <w:b/>
      <w:bCs/>
    </w:rPr>
  </w:style>
  <w:style w:type="paragraph" w:customStyle="1" w:styleId="14">
    <w:name w:val="Текст примечания1"/>
    <w:basedOn w:val="1"/>
    <w:qFormat/>
    <w:uiPriority w:val="0"/>
    <w:rPr>
      <w:sz w:val="20"/>
      <w:szCs w:val="20"/>
    </w:rPr>
  </w:style>
  <w:style w:type="paragraph" w:styleId="15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7">
    <w:name w:val="Hyperlink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styleId="18">
    <w:name w:val="List"/>
    <w:basedOn w:val="3"/>
    <w:qFormat/>
    <w:uiPriority w:val="0"/>
  </w:style>
  <w:style w:type="paragraph" w:styleId="19">
    <w:name w:val="Normal (Web)"/>
    <w:qFormat/>
    <w:uiPriority w:val="99"/>
    <w:pPr>
      <w:suppressAutoHyphens/>
      <w:spacing w:before="100" w:beforeAutospacing="1" w:after="100" w:afterAutospacing="1" w:line="1" w:lineRule="atLeast"/>
      <w:ind w:leftChars="-1" w:hanging="1" w:hangingChars="1"/>
      <w:textAlignment w:val="top"/>
      <w:outlineLvl w:val="0"/>
    </w:pPr>
    <w:rPr>
      <w:rFonts w:ascii="Times New Roman" w:hAnsi="Times New Roman" w:eastAsia="Times New Roman" w:cs="Times New Roman"/>
      <w:position w:val="-1"/>
      <w:sz w:val="24"/>
      <w:szCs w:val="24"/>
      <w:lang w:val="en-US" w:eastAsia="zh-CN" w:bidi="ar-SA"/>
    </w:rPr>
  </w:style>
  <w:style w:type="character" w:styleId="20">
    <w:name w:val="Strong"/>
    <w:qFormat/>
    <w:uiPriority w:val="0"/>
    <w:rPr>
      <w:b/>
      <w:bCs/>
      <w:w w:val="100"/>
      <w:position w:val="-1"/>
      <w:vertAlign w:val="baseline"/>
      <w:cs w:val="0"/>
    </w:rPr>
  </w:style>
  <w:style w:type="paragraph" w:styleId="21">
    <w:name w:val="Subtitle"/>
    <w:basedOn w:val="22"/>
    <w:next w:val="1"/>
    <w:qFormat/>
    <w:uiPriority w:val="0"/>
    <w:pPr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customStyle="1" w:styleId="22">
    <w:name w:val="Заголовок1"/>
    <w:basedOn w:val="1"/>
    <w:next w:val="3"/>
    <w:qFormat/>
    <w:uiPriority w:val="0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23">
    <w:name w:val="Title"/>
    <w:basedOn w:val="1"/>
    <w:next w:val="1"/>
    <w:qFormat/>
    <w:uiPriority w:val="0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24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">
    <w:name w:val="Название"/>
    <w:basedOn w:val="1"/>
    <w:next w:val="1"/>
    <w:qFormat/>
    <w:uiPriority w:val="0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character" w:customStyle="1" w:styleId="26">
    <w:name w:val="WW8Num1z0"/>
    <w:qFormat/>
    <w:uiPriority w:val="0"/>
    <w:rPr>
      <w:b/>
      <w:w w:val="100"/>
      <w:position w:val="-1"/>
      <w:vertAlign w:val="baseline"/>
      <w:cs w:val="0"/>
    </w:rPr>
  </w:style>
  <w:style w:type="character" w:customStyle="1" w:styleId="27">
    <w:name w:val="WW8Num1z1"/>
    <w:qFormat/>
    <w:uiPriority w:val="0"/>
    <w:rPr>
      <w:w w:val="100"/>
      <w:position w:val="-1"/>
      <w:vertAlign w:val="baseline"/>
      <w:cs w:val="0"/>
    </w:rPr>
  </w:style>
  <w:style w:type="character" w:customStyle="1" w:styleId="28">
    <w:name w:val="WW8Num1z2"/>
    <w:qFormat/>
    <w:uiPriority w:val="0"/>
    <w:rPr>
      <w:w w:val="100"/>
      <w:position w:val="-1"/>
      <w:vertAlign w:val="baseline"/>
      <w:cs w:val="0"/>
    </w:rPr>
  </w:style>
  <w:style w:type="character" w:customStyle="1" w:styleId="29">
    <w:name w:val="WW8Num1z3"/>
    <w:qFormat/>
    <w:uiPriority w:val="0"/>
    <w:rPr>
      <w:w w:val="100"/>
      <w:position w:val="-1"/>
      <w:vertAlign w:val="baseline"/>
      <w:cs w:val="0"/>
    </w:rPr>
  </w:style>
  <w:style w:type="character" w:customStyle="1" w:styleId="30">
    <w:name w:val="WW8Num1z4"/>
    <w:qFormat/>
    <w:uiPriority w:val="0"/>
    <w:rPr>
      <w:w w:val="100"/>
      <w:position w:val="-1"/>
      <w:vertAlign w:val="baseline"/>
      <w:cs w:val="0"/>
    </w:rPr>
  </w:style>
  <w:style w:type="character" w:customStyle="1" w:styleId="31">
    <w:name w:val="WW8Num1z5"/>
    <w:qFormat/>
    <w:uiPriority w:val="0"/>
    <w:rPr>
      <w:w w:val="100"/>
      <w:position w:val="-1"/>
      <w:vertAlign w:val="baseline"/>
      <w:cs w:val="0"/>
    </w:rPr>
  </w:style>
  <w:style w:type="character" w:customStyle="1" w:styleId="32">
    <w:name w:val="WW8Num1z6"/>
    <w:qFormat/>
    <w:uiPriority w:val="0"/>
    <w:rPr>
      <w:w w:val="100"/>
      <w:position w:val="-1"/>
      <w:vertAlign w:val="baseline"/>
      <w:cs w:val="0"/>
    </w:rPr>
  </w:style>
  <w:style w:type="character" w:customStyle="1" w:styleId="33">
    <w:name w:val="WW8Num1z7"/>
    <w:qFormat/>
    <w:uiPriority w:val="0"/>
    <w:rPr>
      <w:w w:val="100"/>
      <w:position w:val="-1"/>
      <w:vertAlign w:val="baseline"/>
      <w:cs w:val="0"/>
    </w:rPr>
  </w:style>
  <w:style w:type="character" w:customStyle="1" w:styleId="34">
    <w:name w:val="WW8Num1z8"/>
    <w:qFormat/>
    <w:uiPriority w:val="0"/>
    <w:rPr>
      <w:w w:val="100"/>
      <w:position w:val="-1"/>
      <w:vertAlign w:val="baseline"/>
      <w:cs w:val="0"/>
    </w:rPr>
  </w:style>
  <w:style w:type="character" w:customStyle="1" w:styleId="35">
    <w:name w:val="WW8Num2z0"/>
    <w:qFormat/>
    <w:uiPriority w:val="0"/>
    <w:rPr>
      <w:rFonts w:hint="default" w:ascii="Symbol" w:hAnsi="Symbol" w:cs="Symbol"/>
      <w:w w:val="100"/>
      <w:position w:val="-1"/>
      <w:vertAlign w:val="baseline"/>
      <w:cs w:val="0"/>
    </w:rPr>
  </w:style>
  <w:style w:type="character" w:customStyle="1" w:styleId="36">
    <w:name w:val="WW8Num2z1"/>
    <w:qFormat/>
    <w:uiPriority w:val="0"/>
    <w:rPr>
      <w:rFonts w:hint="default" w:ascii="Courier New" w:hAnsi="Courier New" w:cs="Courier New"/>
      <w:w w:val="100"/>
      <w:position w:val="-1"/>
      <w:vertAlign w:val="baseline"/>
      <w:cs w:val="0"/>
    </w:rPr>
  </w:style>
  <w:style w:type="character" w:customStyle="1" w:styleId="37">
    <w:name w:val="WW8Num3z0"/>
    <w:qFormat/>
    <w:uiPriority w:val="0"/>
    <w:rPr>
      <w:w w:val="100"/>
      <w:position w:val="-1"/>
      <w:shd w:val="clear" w:color="auto" w:fill="FFFFFF"/>
      <w:vertAlign w:val="baseline"/>
      <w:cs w:val="0"/>
    </w:rPr>
  </w:style>
  <w:style w:type="character" w:customStyle="1" w:styleId="38">
    <w:name w:val="WW8Num2z2"/>
    <w:qFormat/>
    <w:uiPriority w:val="0"/>
    <w:rPr>
      <w:rFonts w:hint="default" w:ascii="Wingdings" w:hAnsi="Wingdings" w:cs="Wingdings"/>
      <w:w w:val="100"/>
      <w:position w:val="-1"/>
      <w:vertAlign w:val="baseline"/>
      <w:cs w:val="0"/>
    </w:rPr>
  </w:style>
  <w:style w:type="character" w:customStyle="1" w:styleId="39">
    <w:name w:val="WW8Num3z1"/>
    <w:qFormat/>
    <w:uiPriority w:val="0"/>
    <w:rPr>
      <w:w w:val="100"/>
      <w:position w:val="-1"/>
      <w:vertAlign w:val="baseline"/>
      <w:cs w:val="0"/>
    </w:rPr>
  </w:style>
  <w:style w:type="character" w:customStyle="1" w:styleId="40">
    <w:name w:val="WW8Num3z2"/>
    <w:qFormat/>
    <w:uiPriority w:val="0"/>
    <w:rPr>
      <w:w w:val="100"/>
      <w:position w:val="-1"/>
      <w:vertAlign w:val="baseline"/>
      <w:cs w:val="0"/>
    </w:rPr>
  </w:style>
  <w:style w:type="character" w:customStyle="1" w:styleId="41">
    <w:name w:val="WW8Num3z3"/>
    <w:qFormat/>
    <w:uiPriority w:val="0"/>
    <w:rPr>
      <w:w w:val="100"/>
      <w:position w:val="-1"/>
      <w:vertAlign w:val="baseline"/>
      <w:cs w:val="0"/>
    </w:rPr>
  </w:style>
  <w:style w:type="character" w:customStyle="1" w:styleId="42">
    <w:name w:val="WW8Num3z4"/>
    <w:qFormat/>
    <w:uiPriority w:val="0"/>
    <w:rPr>
      <w:w w:val="100"/>
      <w:position w:val="-1"/>
      <w:vertAlign w:val="baseline"/>
      <w:cs w:val="0"/>
    </w:rPr>
  </w:style>
  <w:style w:type="character" w:customStyle="1" w:styleId="43">
    <w:name w:val="WW8Num3z5"/>
    <w:qFormat/>
    <w:uiPriority w:val="0"/>
    <w:rPr>
      <w:w w:val="100"/>
      <w:position w:val="-1"/>
      <w:vertAlign w:val="baseline"/>
      <w:cs w:val="0"/>
    </w:rPr>
  </w:style>
  <w:style w:type="character" w:customStyle="1" w:styleId="44">
    <w:name w:val="WW8Num3z6"/>
    <w:qFormat/>
    <w:uiPriority w:val="0"/>
    <w:rPr>
      <w:w w:val="100"/>
      <w:position w:val="-1"/>
      <w:vertAlign w:val="baseline"/>
      <w:cs w:val="0"/>
    </w:rPr>
  </w:style>
  <w:style w:type="character" w:customStyle="1" w:styleId="45">
    <w:name w:val="WW8Num3z7"/>
    <w:qFormat/>
    <w:uiPriority w:val="0"/>
    <w:rPr>
      <w:w w:val="100"/>
      <w:position w:val="-1"/>
      <w:vertAlign w:val="baseline"/>
      <w:cs w:val="0"/>
    </w:rPr>
  </w:style>
  <w:style w:type="character" w:customStyle="1" w:styleId="46">
    <w:name w:val="WW8Num3z8"/>
    <w:qFormat/>
    <w:uiPriority w:val="0"/>
    <w:rPr>
      <w:w w:val="100"/>
      <w:position w:val="-1"/>
      <w:vertAlign w:val="baseline"/>
      <w:cs w:val="0"/>
    </w:rPr>
  </w:style>
  <w:style w:type="character" w:customStyle="1" w:styleId="47">
    <w:name w:val="Основной шрифт абзаца1"/>
    <w:qFormat/>
    <w:uiPriority w:val="0"/>
    <w:rPr>
      <w:w w:val="100"/>
      <w:position w:val="-1"/>
      <w:vertAlign w:val="baseline"/>
      <w:cs w:val="0"/>
    </w:rPr>
  </w:style>
  <w:style w:type="character" w:customStyle="1" w:styleId="48">
    <w:name w:val="Текст выноски Знак"/>
    <w:qFormat/>
    <w:uiPriority w:val="0"/>
    <w:rPr>
      <w:rFonts w:ascii="Tahoma" w:hAnsi="Tahoma" w:cs="Tahoma"/>
      <w:w w:val="100"/>
      <w:position w:val="-1"/>
      <w:sz w:val="16"/>
      <w:szCs w:val="16"/>
      <w:vertAlign w:val="baseline"/>
      <w:cs w:val="0"/>
    </w:rPr>
  </w:style>
  <w:style w:type="character" w:customStyle="1" w:styleId="49">
    <w:name w:val="Знак примечания1"/>
    <w:qFormat/>
    <w:uiPriority w:val="0"/>
    <w:rPr>
      <w:w w:val="100"/>
      <w:position w:val="-1"/>
      <w:sz w:val="16"/>
      <w:szCs w:val="16"/>
      <w:vertAlign w:val="baseline"/>
      <w:cs w:val="0"/>
    </w:rPr>
  </w:style>
  <w:style w:type="character" w:customStyle="1" w:styleId="50">
    <w:name w:val="Текст примечания Знак"/>
    <w:basedOn w:val="47"/>
    <w:qFormat/>
    <w:uiPriority w:val="0"/>
    <w:rPr>
      <w:w w:val="100"/>
      <w:position w:val="-1"/>
      <w:vertAlign w:val="baseline"/>
      <w:cs w:val="0"/>
    </w:rPr>
  </w:style>
  <w:style w:type="character" w:customStyle="1" w:styleId="51">
    <w:name w:val="Тема примечания Знак"/>
    <w:qFormat/>
    <w:uiPriority w:val="0"/>
    <w:rPr>
      <w:b/>
      <w:bCs/>
      <w:w w:val="100"/>
      <w:position w:val="-1"/>
      <w:vertAlign w:val="baseline"/>
      <w:cs w:val="0"/>
    </w:rPr>
  </w:style>
  <w:style w:type="character" w:customStyle="1" w:styleId="52">
    <w:name w:val="Основной текст Знак"/>
    <w:qFormat/>
    <w:uiPriority w:val="0"/>
    <w:rPr>
      <w:w w:val="100"/>
      <w:position w:val="-1"/>
      <w:sz w:val="24"/>
      <w:szCs w:val="24"/>
      <w:vertAlign w:val="baseline"/>
      <w:cs w:val="0"/>
    </w:rPr>
  </w:style>
  <w:style w:type="character" w:customStyle="1" w:styleId="53">
    <w:name w:val="Основной текст с отступом 2 Знак"/>
    <w:qFormat/>
    <w:uiPriority w:val="0"/>
    <w:rPr>
      <w:w w:val="100"/>
      <w:position w:val="-1"/>
      <w:sz w:val="24"/>
      <w:szCs w:val="24"/>
      <w:vertAlign w:val="baseline"/>
      <w:cs w:val="0"/>
    </w:rPr>
  </w:style>
  <w:style w:type="character" w:customStyle="1" w:styleId="54">
    <w:name w:val="apple-converted-space"/>
    <w:basedOn w:val="47"/>
    <w:qFormat/>
    <w:uiPriority w:val="0"/>
    <w:rPr>
      <w:w w:val="100"/>
      <w:position w:val="-1"/>
      <w:vertAlign w:val="baseline"/>
      <w:cs w:val="0"/>
    </w:rPr>
  </w:style>
  <w:style w:type="character" w:customStyle="1" w:styleId="55">
    <w:name w:val="Основной текст с отступом Знак"/>
    <w:qFormat/>
    <w:uiPriority w:val="0"/>
    <w:rPr>
      <w:rFonts w:ascii="Calibri" w:hAnsi="Calibri" w:eastAsia="Calibri" w:cs="Times New Roman"/>
      <w:w w:val="100"/>
      <w:position w:val="-1"/>
      <w:sz w:val="22"/>
      <w:szCs w:val="22"/>
      <w:vertAlign w:val="baseline"/>
      <w:cs w:val="0"/>
    </w:rPr>
  </w:style>
  <w:style w:type="character" w:customStyle="1" w:styleId="56">
    <w:name w:val="Заголовок 1 Знак"/>
    <w:qFormat/>
    <w:uiPriority w:val="0"/>
    <w:rPr>
      <w:b/>
      <w:bCs/>
      <w:w w:val="100"/>
      <w:kern w:val="1"/>
      <w:position w:val="-1"/>
      <w:sz w:val="48"/>
      <w:szCs w:val="48"/>
      <w:vertAlign w:val="baseline"/>
      <w:cs w:val="0"/>
    </w:rPr>
  </w:style>
  <w:style w:type="character" w:customStyle="1" w:styleId="57">
    <w:name w:val="region-block"/>
    <w:basedOn w:val="47"/>
    <w:qFormat/>
    <w:uiPriority w:val="0"/>
    <w:rPr>
      <w:w w:val="100"/>
      <w:position w:val="-1"/>
      <w:vertAlign w:val="baseline"/>
      <w:cs w:val="0"/>
    </w:rPr>
  </w:style>
  <w:style w:type="character" w:customStyle="1" w:styleId="58">
    <w:name w:val="Название Знак"/>
    <w:qFormat/>
    <w:uiPriority w:val="0"/>
    <w:rPr>
      <w:rFonts w:ascii="Cambria" w:hAnsi="Cambria" w:cs="Cambria"/>
      <w:b/>
      <w:bCs/>
      <w:w w:val="100"/>
      <w:kern w:val="1"/>
      <w:position w:val="-1"/>
      <w:sz w:val="32"/>
      <w:szCs w:val="32"/>
      <w:vertAlign w:val="baseline"/>
      <w:cs w:val="0"/>
    </w:rPr>
  </w:style>
  <w:style w:type="character" w:customStyle="1" w:styleId="59">
    <w:name w:val="upper"/>
    <w:basedOn w:val="47"/>
    <w:qFormat/>
    <w:uiPriority w:val="0"/>
    <w:rPr>
      <w:w w:val="100"/>
      <w:position w:val="-1"/>
      <w:vertAlign w:val="baseline"/>
      <w:cs w:val="0"/>
    </w:rPr>
  </w:style>
  <w:style w:type="paragraph" w:customStyle="1" w:styleId="60">
    <w:name w:val="Название1"/>
    <w:basedOn w:val="1"/>
    <w:qFormat/>
    <w:uiPriority w:val="0"/>
    <w:pPr>
      <w:suppressLineNumbers/>
      <w:spacing w:before="120" w:after="120"/>
    </w:pPr>
    <w:rPr>
      <w:i/>
      <w:iCs/>
    </w:rPr>
  </w:style>
  <w:style w:type="paragraph" w:customStyle="1" w:styleId="61">
    <w:name w:val="Указатель1"/>
    <w:basedOn w:val="1"/>
    <w:qFormat/>
    <w:uiPriority w:val="0"/>
    <w:pPr>
      <w:suppressLineNumbers/>
    </w:pPr>
  </w:style>
  <w:style w:type="paragraph" w:customStyle="1" w:styleId="62">
    <w:name w:val="Содержимое таблицы"/>
    <w:basedOn w:val="1"/>
    <w:qFormat/>
    <w:uiPriority w:val="0"/>
    <w:pPr>
      <w:widowControl w:val="0"/>
      <w:suppressLineNumbers/>
    </w:pPr>
    <w:rPr>
      <w:kern w:val="1"/>
      <w:lang w:eastAsia="hi-IN" w:bidi="hi-IN"/>
    </w:rPr>
  </w:style>
  <w:style w:type="paragraph" w:customStyle="1" w:styleId="63">
    <w:name w:val="Revision"/>
    <w:qFormat/>
    <w:uiPriority w:val="0"/>
    <w:pPr>
      <w:spacing w:line="1" w:lineRule="atLeast"/>
      <w:ind w:left="-1" w:leftChars="-1" w:hanging="1" w:hangingChars="1"/>
      <w:textAlignment w:val="top"/>
      <w:outlineLvl w:val="0"/>
    </w:pPr>
    <w:rPr>
      <w:rFonts w:ascii="Times New Roman" w:hAnsi="Times New Roman" w:eastAsia="Times New Roman" w:cs="Times New Roman"/>
      <w:position w:val="-1"/>
      <w:sz w:val="24"/>
      <w:szCs w:val="24"/>
      <w:lang w:val="ru-RU" w:eastAsia="ar-SA" w:bidi="ar-SA"/>
    </w:rPr>
  </w:style>
  <w:style w:type="paragraph" w:customStyle="1" w:styleId="64">
    <w:name w:val="Основной текст с отступом 21"/>
    <w:basedOn w:val="1"/>
    <w:qFormat/>
    <w:uiPriority w:val="0"/>
    <w:pPr>
      <w:spacing w:before="280" w:after="280"/>
    </w:pPr>
  </w:style>
  <w:style w:type="paragraph" w:customStyle="1" w:styleId="65">
    <w:name w:val="Сd1оeeдe4еe5рf0жe6иe8мecоeeеe5 тf2аe0бe1лebиe8цf6ыfb"/>
    <w:basedOn w:val="1"/>
    <w:qFormat/>
    <w:uiPriority w:val="0"/>
    <w:pPr>
      <w:widowControl w:val="0"/>
      <w:suppressLineNumbers/>
      <w:autoSpaceDE w:val="0"/>
    </w:pPr>
    <w:rPr>
      <w:rFonts w:ascii="Liberation Serif" w:hAnsi="Liberation Serif"/>
      <w:color w:val="00000A"/>
    </w:rPr>
  </w:style>
  <w:style w:type="paragraph" w:customStyle="1" w:styleId="66">
    <w:name w:val="Обычный (веб)1"/>
    <w:basedOn w:val="1"/>
    <w:qFormat/>
    <w:uiPriority w:val="0"/>
    <w:pPr>
      <w:spacing w:before="280" w:after="280"/>
    </w:pPr>
  </w:style>
  <w:style w:type="paragraph" w:customStyle="1" w:styleId="67">
    <w:name w:val="Заголовок таблицы"/>
    <w:basedOn w:val="62"/>
    <w:qFormat/>
    <w:uiPriority w:val="0"/>
    <w:pPr>
      <w:jc w:val="center"/>
    </w:pPr>
    <w:rPr>
      <w:b/>
      <w:bCs/>
    </w:rPr>
  </w:style>
  <w:style w:type="character" w:customStyle="1" w:styleId="68">
    <w:name w:val="Неразрешенное упоминание"/>
    <w:qFormat/>
    <w:uiPriority w:val="0"/>
    <w:rPr>
      <w:color w:val="605E5C"/>
      <w:w w:val="100"/>
      <w:position w:val="-1"/>
      <w:shd w:val="clear" w:color="auto" w:fill="E1DFDD"/>
      <w:vertAlign w:val="baseline"/>
      <w:cs w:val="0"/>
    </w:rPr>
  </w:style>
  <w:style w:type="table" w:customStyle="1" w:styleId="69">
    <w:name w:val="_Style 69"/>
    <w:basedOn w:val="24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0">
    <w:name w:val="_Style 70"/>
    <w:basedOn w:val="24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_Style 71"/>
    <w:basedOn w:val="24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_Style 72"/>
    <w:basedOn w:val="24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_Style 73"/>
    <w:basedOn w:val="24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4">
    <w:name w:val="_Style 74"/>
    <w:basedOn w:val="24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">
    <w:name w:val="_Style 75"/>
    <w:basedOn w:val="24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">
    <w:name w:val="_Style 76"/>
    <w:basedOn w:val="24"/>
    <w:qFormat/>
    <w:uiPriority w:val="0"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77">
    <w:name w:val="_Style 77"/>
    <w:basedOn w:val="24"/>
    <w:qFormat/>
    <w:uiPriority w:val="0"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78">
    <w:name w:val="_Style 78"/>
    <w:basedOn w:val="24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">
    <w:name w:val="_Style 79"/>
    <w:basedOn w:val="24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0">
    <w:name w:val="_Style 80"/>
    <w:basedOn w:val="24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">
    <w:name w:val="_Style 81"/>
    <w:basedOn w:val="24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_Style 82"/>
    <w:basedOn w:val="24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_Style 83"/>
    <w:basedOn w:val="24"/>
    <w:qFormat/>
    <w:uiPriority w:val="0"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84">
    <w:name w:val="_Style 84"/>
    <w:basedOn w:val="24"/>
    <w:qFormat/>
    <w:uiPriority w:val="0"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85">
    <w:name w:val="_Style 85"/>
    <w:basedOn w:val="24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">
    <w:name w:val="_Style 86"/>
    <w:basedOn w:val="24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_Style 87"/>
    <w:basedOn w:val="24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8">
    <w:name w:val="_Style 88"/>
    <w:basedOn w:val="24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">
    <w:name w:val="_Style 89"/>
    <w:basedOn w:val="24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_Style 90"/>
    <w:basedOn w:val="24"/>
    <w:qFormat/>
    <w:uiPriority w:val="0"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91">
    <w:name w:val="_Style 91"/>
    <w:basedOn w:val="24"/>
    <w:qFormat/>
    <w:uiPriority w:val="0"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92">
    <w:name w:val="_Style 92"/>
    <w:basedOn w:val="24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_Style 93"/>
    <w:basedOn w:val="24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4">
    <w:name w:val="_Style 94"/>
    <w:basedOn w:val="24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5">
    <w:name w:val="_Style 95"/>
    <w:basedOn w:val="24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_Style 96"/>
    <w:basedOn w:val="24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">
    <w:name w:val="_Style 97"/>
    <w:basedOn w:val="24"/>
    <w:qFormat/>
    <w:uiPriority w:val="0"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98">
    <w:name w:val="_Style 98"/>
    <w:basedOn w:val="24"/>
    <w:qFormat/>
    <w:uiPriority w:val="0"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99">
    <w:name w:val="_Style 99"/>
    <w:basedOn w:val="24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1955</Words>
  <Characters>11146</Characters>
  <Lines>92</Lines>
  <Paragraphs>26</Paragraphs>
  <TotalTime>0</TotalTime>
  <ScaleCrop>false</ScaleCrop>
  <LinksUpToDate>false</LinksUpToDate>
  <CharactersWithSpaces>13075</CharactersWithSpaces>
  <Application>WPS Office_4.7.1.7786_F1E327BC-269C-435d-A152-05C5408002CA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2025-07-14T11:31:00Z</dcterms:created>
  <dc:creator>Пользователь</dc:creator>
  <cp:lastModifiedBy>Lisa Ermakova</cp:lastModifiedBy>
  <dcterms:modified xsi:type="dcterms:W3CDTF">2026-01-23T15:33:00Z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1033-4.7.1.7786</vt:lpwstr>
  </property>
  <property fmtid="{D5CDD505-2E9C-101B-9397-08002B2CF9AE}" pid="3" name="ICV">
    <vt:lpwstr>5BBA2E1D0DE24CCEB66DDA6D3219AB3D_12</vt:lpwstr>
  </property>
</Properties>
</file>